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32.png" ContentType="image/png"/>
  <Override PartName="/word/media/rId83.png" ContentType="image/png"/>
  <Override PartName="/word/media/rId86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Текстовый</w:t>
      </w:r>
      <w:r>
        <w:t xml:space="preserve"> </w:t>
      </w:r>
      <w:r>
        <w:t xml:space="preserve">редактор</w:t>
      </w:r>
      <w:r>
        <w:t xml:space="preserve"> </w:t>
      </w:r>
      <w:r>
        <w:t xml:space="preserve">emacs</w:t>
      </w:r>
    </w:p>
    <w:p>
      <w:pPr>
        <w:pStyle w:val="Authors"/>
      </w:pPr>
      <w:r>
        <w:t xml:space="preserve">Аникин</w:t>
      </w:r>
      <w:r>
        <w:t xml:space="preserve"> </w:t>
      </w:r>
      <w:r>
        <w:t xml:space="preserve">Константин</w:t>
      </w:r>
      <w:r>
        <w:t xml:space="preserve"> </w:t>
      </w:r>
      <w:r>
        <w:t xml:space="preserve">Сергеевич</w:t>
      </w:r>
    </w:p>
    <w:bookmarkStart w:id="21" w:name="цель-работы"/>
    <w:p>
      <w:pPr>
        <w:pStyle w:val="Heading1"/>
      </w:pPr>
      <w:r>
        <w:t xml:space="preserve">Цель работы</w:t>
      </w:r>
    </w:p>
    <w:bookmarkEnd w:id="21"/>
    <w:p>
      <w:pPr>
        <w:pStyle w:val="Compact"/>
        <w:numPr>
          <w:numId w:val="2"/>
          <w:ilvl w:val="0"/>
        </w:numPr>
      </w:pPr>
      <w:r>
        <w:t xml:space="preserve">Получить теоретические и практические навыки работы с текстовым редактором emacs</w:t>
      </w:r>
    </w:p>
    <w:bookmarkStart w:id="22" w:name="задание"/>
    <w:p>
      <w:pPr>
        <w:pStyle w:val="Heading1"/>
      </w:pPr>
      <w:r>
        <w:t xml:space="preserve">Задание</w:t>
      </w:r>
    </w:p>
    <w:bookmarkEnd w:id="22"/>
    <w:p>
      <w:pPr>
        <w:numPr>
          <w:numId w:val="3"/>
          <w:ilvl w:val="0"/>
        </w:numPr>
      </w:pPr>
      <w:r>
        <w:t xml:space="preserve">Ознакомиться с теоретическим материалом.</w:t>
      </w:r>
    </w:p>
    <w:p>
      <w:pPr>
        <w:numPr>
          <w:numId w:val="3"/>
          <w:ilvl w:val="0"/>
        </w:numPr>
      </w:pPr>
      <w:r>
        <w:t xml:space="preserve">Ознакомиться с редактором emacs.</w:t>
      </w:r>
    </w:p>
    <w:p>
      <w:pPr>
        <w:numPr>
          <w:numId w:val="3"/>
          <w:ilvl w:val="0"/>
        </w:numPr>
      </w:pPr>
      <w:r>
        <w:t xml:space="preserve">Выполнить упражнения, используя команды emacs.</w:t>
      </w:r>
    </w:p>
    <w:bookmarkStart w:id="23" w:name="теоретическое-введение"/>
    <w:p>
      <w:pPr>
        <w:pStyle w:val="Heading1"/>
      </w:pPr>
      <w:r>
        <w:t xml:space="preserve">Теоретическое введение</w:t>
      </w:r>
    </w:p>
    <w:bookmarkEnd w:id="23"/>
    <w:p>
      <w:hyperlink r:id="rId24">
        <w:r>
          <w:rPr>
            <w:rStyle w:val="Link"/>
          </w:rPr>
          <w:t xml:space="preserve">[1]</w:t>
        </w:r>
      </w:hyperlink>
    </w:p>
    <w:p>
      <w:r>
        <w:t xml:space="preserve">Буфер — это основная единица редактирования; один буфер соответствует одному куску редактируемого текста.</w:t>
      </w:r>
    </w:p>
    <w:p>
      <w:r>
        <w:t xml:space="preserve">Точка вставки (point) — это место в буфере, в котором происходит вставка или удаление данных.</w:t>
      </w:r>
    </w:p>
    <w:p>
      <w:r>
        <w:t xml:space="preserve">Окно в Emacs — это область экрана, в которой отображается буфер.</w:t>
      </w:r>
    </w:p>
    <w:p>
      <w:r>
        <w:t xml:space="preserve">Фрейм (frame) — это отдельное окно используемой оконной системы, в котором отображаются одно или несколько окон Emacs.</w:t>
      </w:r>
    </w:p>
    <w:p>
      <w:r>
        <w:t xml:space="preserve">Возможности редактора можно найти здесь</w:t>
      </w:r>
      <w:r>
        <w:t xml:space="preserve"> </w:t>
      </w:r>
      <w:hyperlink r:id="rId25">
        <w:r>
          <w:rPr>
            <w:rStyle w:val="Link"/>
          </w:rPr>
          <w:t xml:space="preserve">[2]</w:t>
        </w:r>
      </w:hyperlink>
    </w:p>
    <w:bookmarkStart w:id="2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End w:id="26"/>
    <w:p>
      <w:pPr>
        <w:pStyle w:val="Compact"/>
        <w:numPr>
          <w:numId w:val="4"/>
          <w:ilvl w:val="0"/>
        </w:numPr>
      </w:pPr>
      <w:r>
        <w:t xml:space="preserve">Запуск emacs (рис. 1)</w:t>
      </w:r>
    </w:p>
    <w:p>
      <w:r>
        <w:drawing>
          <wp:inline>
            <wp:extent cx="5892800" cy="50927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509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1: Запуск emacs</w:t>
      </w:r>
    </w:p>
    <w:p>
      <w:r>
        <w:t xml:space="preserve">2,3,4. Создание файла, ввод текста программы, сохранение изменений (рис. 2)</w:t>
      </w:r>
    </w:p>
    <w:p>
      <w:r>
        <w:drawing>
          <wp:inline>
            <wp:extent cx="5892800" cy="5029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2: Заполнение файла lab07.sh</w:t>
      </w:r>
    </w:p>
    <w:p>
      <w:r>
        <w:t xml:space="preserve">5-1. Удаление последней строки C-k (рис. 3)</w:t>
      </w:r>
    </w:p>
    <w:p>
      <w:r>
        <w:drawing>
          <wp:inline>
            <wp:extent cx="5981700" cy="5156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15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3: Удаление последней строки</w:t>
      </w:r>
    </w:p>
    <w:p>
      <w:r>
        <w:t xml:space="preserve">5-2. Вставка удаленной строки C-y. Здесь в работе я ошибся, что привело к вставке не того фрагмента (рис. 4)</w:t>
      </w:r>
    </w:p>
    <w:p>
      <w:r>
        <w:drawing>
          <wp:inline>
            <wp:extent cx="5930900" cy="50419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4: Вставка удаленной строки</w:t>
      </w:r>
    </w:p>
    <w:p>
      <w:r>
        <w:t xml:space="preserve">5-3. Выделение текста C-space (рис. 5)</w:t>
      </w:r>
    </w:p>
    <w:p>
      <w:r>
        <w:drawing>
          <wp:inline>
            <wp:extent cx="5981700" cy="5130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13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5: Выделение текста</w:t>
      </w:r>
    </w:p>
    <w:p>
      <w:r>
        <w:t xml:space="preserve">5-4,5. Копирование и вставка выделенного текста (рис. 6)</w:t>
      </w:r>
    </w:p>
    <w:p>
      <w:r>
        <w:drawing>
          <wp:inline>
            <wp:extent cx="5943600" cy="5118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6: Копирование и вставка</w:t>
      </w:r>
    </w:p>
    <w:p>
      <w:r>
        <w:t xml:space="preserve">5-6. Вырезание строки C-w (рис. 7)</w:t>
      </w:r>
    </w:p>
    <w:p>
      <w:r>
        <w:drawing>
          <wp:inline>
            <wp:extent cx="5943600" cy="5029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7: Вырезание строки</w:t>
      </w:r>
    </w:p>
    <w:p>
      <w:r>
        <w:t xml:space="preserve">5-7. Отмена вырезания (рис. 8)</w:t>
      </w:r>
    </w:p>
    <w:p>
      <w:r>
        <w:drawing>
          <wp:inline>
            <wp:extent cx="5956300" cy="5181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8: Отмена вырезания</w:t>
      </w:r>
    </w:p>
    <w:p>
      <w:pPr>
        <w:pStyle w:val="Compact"/>
        <w:numPr>
          <w:numId w:val="5"/>
          <w:ilvl w:val="0"/>
        </w:numPr>
      </w:pPr>
      <w:r>
        <w:t xml:space="preserve">Перемещения курсора в тексте С-a C-e и по буферу M-&lt; M-&gt; (рис. 9)</w:t>
      </w:r>
    </w:p>
    <w:p>
      <w:r>
        <w:drawing>
          <wp:inline>
            <wp:extent cx="5854700" cy="5003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00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9: Перемещения курсора</w:t>
      </w:r>
    </w:p>
    <w:p>
      <w:r>
        <w:t xml:space="preserve">7-1. Выведение списка буферов (рис. 10)</w:t>
      </w:r>
    </w:p>
    <w:p>
      <w:r>
        <w:drawing>
          <wp:inline>
            <wp:extent cx="5969000" cy="5156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15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10: Список буферов</w:t>
      </w:r>
    </w:p>
    <w:p>
      <w:r>
        <w:t xml:space="preserve">7-2. Перемещение в окно буферов (рис. 11)</w:t>
      </w:r>
    </w:p>
    <w:p>
      <w:r>
        <w:drawing>
          <wp:inline>
            <wp:extent cx="5880100" cy="5105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11: Перемещение в окно буферов</w:t>
      </w:r>
    </w:p>
    <w:p>
      <w:r>
        <w:t xml:space="preserve">7-3. Закрытие окна буферов (рис. 12)</w:t>
      </w:r>
    </w:p>
    <w:p>
      <w:r>
        <w:drawing>
          <wp:inline>
            <wp:extent cx="5930900" cy="5016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1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12: Закрытие окна буферов</w:t>
      </w:r>
    </w:p>
    <w:p>
      <w:r>
        <w:t xml:space="preserve">7-4. Выведение текстового списка буферов (рис. 13)</w:t>
      </w:r>
    </w:p>
    <w:p>
      <w:r>
        <w:drawing>
          <wp:inline>
            <wp:extent cx="5981700" cy="51181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13: Текстовый список буферов</w:t>
      </w:r>
    </w:p>
    <w:p>
      <w:r>
        <w:t xml:space="preserve">8-1. Четвертование фрейма (рис. 14)</w:t>
      </w:r>
    </w:p>
    <w:p>
      <w:r>
        <w:drawing>
          <wp:inline>
            <wp:extent cx="5905500" cy="508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14: Расчетвертованный фрейм</w:t>
      </w:r>
    </w:p>
    <w:p>
      <w:r>
        <w:t xml:space="preserve">8-2. Выведение разных буферов в разных окнах (рис. 15)</w:t>
      </w:r>
    </w:p>
    <w:p>
      <w:r>
        <w:drawing>
          <wp:inline>
            <wp:extent cx="5981700" cy="50419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15: Выведение разных буферов в разных окна</w:t>
      </w:r>
    </w:p>
    <w:p>
      <w:r>
        <w:t xml:space="preserve">9-1. Поиск HELLO (рис. 16)</w:t>
      </w:r>
    </w:p>
    <w:p>
      <w:r>
        <w:drawing>
          <wp:inline>
            <wp:extent cx="5930900" cy="5257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16: Поиск HELLO</w:t>
      </w:r>
    </w:p>
    <w:p>
      <w:r>
        <w:t xml:space="preserve">9-2. Другой режим поиска (рис. 17)</w:t>
      </w:r>
    </w:p>
    <w:p>
      <w:r>
        <w:drawing>
          <wp:inline>
            <wp:extent cx="6007100" cy="5232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523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17: Другой режим поиска</w:t>
      </w:r>
    </w:p>
    <w:p>
      <w:r>
        <w:t xml:space="preserve">9-3. Выключение поиска (рис. 18)</w:t>
      </w:r>
    </w:p>
    <w:p>
      <w:r>
        <w:drawing>
          <wp:inline>
            <wp:extent cx="5918200" cy="5105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18: Выключение поиска</w:t>
      </w:r>
    </w:p>
    <w:p>
      <w:r>
        <w:t xml:space="preserve">9-4. Замена HELLO на OLLEH (рис. 19)</w:t>
      </w:r>
    </w:p>
    <w:p>
      <w:r>
        <w:drawing>
          <wp:inline>
            <wp:extent cx="5943600" cy="5105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19: Замена HELLO на OLLEH</w:t>
      </w:r>
    </w:p>
    <w:p>
      <w:r>
        <w:t xml:space="preserve">9-5. Включение поиска с использованием регулярынх выражений (рис. 20)</w:t>
      </w:r>
    </w:p>
    <w:p>
      <w:r>
        <w:drawing>
          <wp:inline>
            <wp:extent cx="5943600" cy="5080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https://raw.githubusercontent.com/RituLiot/os-10/main/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t xml:space="preserve">Рис. 20: Включение поиска с использованием регулярынх выражений</w:t>
      </w:r>
    </w:p>
    <w:bookmarkStart w:id="87" w:name="выводы"/>
    <w:p>
      <w:pPr>
        <w:pStyle w:val="Heading1"/>
      </w:pPr>
      <w:r>
        <w:t xml:space="preserve">Выводы</w:t>
      </w:r>
    </w:p>
    <w:bookmarkEnd w:id="87"/>
    <w:p>
      <w:r>
        <w:t xml:space="preserve">Материал освоен полностью. В работе присутствуют незначительные ошибки. Отдельное спасибо за полномасштабную справку по регулярынм выражениям.</w:t>
      </w:r>
    </w:p>
    <w:bookmarkStart w:id="88" w:name="библиографический-список"/>
    <w:p>
      <w:pPr>
        <w:pStyle w:val="Heading2"/>
      </w:pPr>
      <w:r>
        <w:t xml:space="preserve">Библиографический список:</w:t>
      </w:r>
    </w:p>
    <w:bookmarkEnd w:id="88"/>
    <w:p>
      <w:r>
        <w:t xml:space="preserve">[1]:</w:t>
      </w:r>
      <w:r>
        <w:t xml:space="preserve"> </w:t>
      </w:r>
      <w:hyperlink r:id="rId24">
        <w:r>
          <w:rPr>
            <w:rStyle w:val="Link"/>
          </w:rPr>
          <w:t xml:space="preserve">Emacs для начинающих</w:t>
        </w:r>
      </w:hyperlink>
    </w:p>
    <w:p>
      <w:r>
        <w:t xml:space="preserve">[2]:</w:t>
      </w:r>
      <w:r>
        <w:t xml:space="preserve"> </w:t>
      </w:r>
      <w:hyperlink r:id="rId25">
        <w:r>
          <w:rPr>
            <w:rStyle w:val="Link"/>
          </w:rPr>
          <w:t xml:space="preserve">Справочник команд GNU Emacs</w:t>
        </w:r>
      </w:hyperlink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85f6c31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ec81511e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3">
    <w:nsid w:val="4a836f96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4">
    <w:nsid w:val="74bee417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4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32" Target="media/rId32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hyperlink" Id="rId24" Target="http://alexott.net/ru/writings/altlinux-emacs/" TargetMode="External" /><Relationship Type="http://schemas.openxmlformats.org/officeDocument/2006/relationships/hyperlink" Id="rId25" Target="https://www.gnu.org/software/emacs/refcards/pdf/ru-refcard.pdf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4" Target="http://alexott.net/ru/writings/altlinux-emacs/" TargetMode="External" /><Relationship Type="http://schemas.openxmlformats.org/officeDocument/2006/relationships/hyperlink" Id="rId25" Target="https://www.gnu.org/software/emacs/refcards/pdf/ru-refcard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Текстовый редактор emacs</dc:title>
  <dc:creator>Аникин Константин Сергеевич</dc:creator>
</cp:coreProperties>
</file>